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Age Ratings - Parent Guide</w:t>
      </w:r>
    </w:p>
    <w:p w:rsidR="00000000" w:rsidDel="00000000" w:rsidP="00000000" w:rsidRDefault="00000000" w:rsidRPr="00000000" w14:paraId="00000002">
      <w:pPr>
        <w:spacing w:after="200" w:line="276" w:lineRule="auto"/>
        <w:rPr>
          <w:sz w:val="32"/>
          <w:szCs w:val="32"/>
        </w:rPr>
      </w:pPr>
      <w:r w:rsidDel="00000000" w:rsidR="00000000" w:rsidRPr="00000000">
        <w:rPr>
          <w:sz w:val="32"/>
          <w:szCs w:val="32"/>
          <w:rtl w:val="0"/>
        </w:rPr>
        <w:t xml:space="preserve">A quick guide to what parents need to know</w:t>
      </w:r>
    </w:p>
    <w:p w:rsidR="00000000" w:rsidDel="00000000" w:rsidP="00000000" w:rsidRDefault="00000000" w:rsidRPr="00000000" w14:paraId="00000003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are age ratings?</w:t>
      </w:r>
    </w:p>
    <w:p w:rsidR="00000000" w:rsidDel="00000000" w:rsidP="00000000" w:rsidRDefault="00000000" w:rsidRPr="00000000" w14:paraId="00000005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Age ratings tell us which online platforms, such as apps and websites, are </w:t>
      </w:r>
      <w:r w:rsidDel="00000000" w:rsidR="00000000" w:rsidRPr="00000000">
        <w:rPr>
          <w:b w:val="1"/>
          <w:rtl w:val="0"/>
        </w:rPr>
        <w:t xml:space="preserve">suitable for different age ranges</w:t>
      </w:r>
      <w:r w:rsidDel="00000000" w:rsidR="00000000" w:rsidRPr="00000000">
        <w:rPr>
          <w:rtl w:val="0"/>
        </w:rPr>
        <w:t xml:space="preserve">. These protect children from inappropriate content and data collection. Most platforms have an official age rating – but these can differ from place to place. For example, Instagram is officially rated 13+, but is rated 12+ in app stores. PEGI’s ratings for games can also differ. It can be confusing, but most age ratings will guide you in deciding which platforms are appropriate.</w:t>
      </w:r>
    </w:p>
    <w:p w:rsidR="00000000" w:rsidDel="00000000" w:rsidP="00000000" w:rsidRDefault="00000000" w:rsidRPr="00000000" w14:paraId="00000006">
      <w:pPr>
        <w:spacing w:after="20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0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Why are some platforms rated under-13?</w:t>
      </w:r>
    </w:p>
    <w:p w:rsidR="00000000" w:rsidDel="00000000" w:rsidP="00000000" w:rsidRDefault="00000000" w:rsidRPr="00000000" w14:paraId="00000008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These have content suitable for children. Additionally, laws regulate the collection of personal information for under-13s. Many under-13 platforms still need parental consent – for instance YouTube Kids (4+), PopJam (7+) and Minecraft (9+).</w:t>
      </w:r>
    </w:p>
    <w:p w:rsidR="00000000" w:rsidDel="00000000" w:rsidP="00000000" w:rsidRDefault="00000000" w:rsidRPr="00000000" w14:paraId="00000009">
      <w:pPr>
        <w:spacing w:after="20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Why are some platforms rated 13+?</w:t>
      </w:r>
    </w:p>
    <w:p w:rsidR="00000000" w:rsidDel="00000000" w:rsidP="00000000" w:rsidRDefault="00000000" w:rsidRPr="00000000" w14:paraId="0000000B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These may feature stuff that’s not suitable for younger children, such as graphic violence or sexualised content. Most popular social media platforms – including Instagram, YouTube and TikTok – are rated 13+. But it’s not hard for younger children to join 13+ platforms. Many ask a new user for their date of birth, but do not require proof.</w:t>
      </w:r>
    </w:p>
    <w:p w:rsidR="00000000" w:rsidDel="00000000" w:rsidP="00000000" w:rsidRDefault="00000000" w:rsidRPr="00000000" w14:paraId="0000000C">
      <w:pPr>
        <w:spacing w:after="200" w:line="276" w:lineRule="auto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Why are some platforms rated 18+?</w:t>
      </w:r>
    </w:p>
    <w:p w:rsidR="00000000" w:rsidDel="00000000" w:rsidP="00000000" w:rsidRDefault="00000000" w:rsidRPr="00000000" w14:paraId="0000000E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These contain age-restricted content – like gaming, alcohol or porn. But many 18+ platforms are accessible to children and young people. Usually this is because they do not verify a user’s age, or have a process that can be bypassed.</w:t>
      </w:r>
    </w:p>
    <w:p w:rsidR="00000000" w:rsidDel="00000000" w:rsidP="00000000" w:rsidRDefault="00000000" w:rsidRPr="00000000" w14:paraId="0000000F">
      <w:pPr>
        <w:spacing w:after="20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What should I do?</w:t>
      </w:r>
    </w:p>
    <w:p w:rsidR="00000000" w:rsidDel="00000000" w:rsidP="00000000" w:rsidRDefault="00000000" w:rsidRPr="00000000" w14:paraId="00000011">
      <w:pPr>
        <w:spacing w:after="200" w:line="276" w:lineRule="auto"/>
        <w:rPr/>
      </w:pPr>
      <w:r w:rsidDel="00000000" w:rsidR="00000000" w:rsidRPr="00000000">
        <w:rPr>
          <w:rtl w:val="0"/>
        </w:rPr>
        <w:t xml:space="preserve">Familiarise yourself with age ratings and the platforms your child uses. They may be desperate to sign-up to TikTok – but explore the app together first to decide if it’s suitable. If your child does use a 13+ platform, take a look at the privacy settings with them and make sure they know how to block or report a problem. And never just assume your child isn’t visiting 13+ or 18+ platforms. Children are naturally curious, and may be tempted to explore – especially if a platform doesn’t verify their age.</w:t>
      </w:r>
    </w:p>
    <w:p w:rsidR="00000000" w:rsidDel="00000000" w:rsidP="00000000" w:rsidRDefault="00000000" w:rsidRPr="00000000" w14:paraId="00000012">
      <w:pPr>
        <w:spacing w:after="20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76" w:lineRule="auto"/>
        <w:rPr/>
      </w:pPr>
      <w:r w:rsidDel="00000000" w:rsidR="00000000" w:rsidRPr="00000000">
        <w:rPr>
          <w:b w:val="1"/>
          <w:rtl w:val="0"/>
        </w:rPr>
        <w:t xml:space="preserve">More Info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76" w:lineRule="auto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Listen to Parent Zone’s Tech Shock podcast – discussing age-gating online</w:t>
        </w:r>
      </w:hyperlink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5">
      <w:pPr>
        <w:spacing w:after="200" w:line="276" w:lineRule="auto"/>
        <w:rPr/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Read Parent Zone’s guides to popular apps and services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center" w:leader="none" w:pos="4513"/>
          <w:tab w:val="right" w:leader="none" w:pos="9026"/>
        </w:tabs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296" w:top="1296" w:left="1296" w:right="1296" w:header="576" w:footer="431.9999999999999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omic Sans MS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tabs>
        <w:tab w:val="center" w:leader="none" w:pos="4513"/>
        <w:tab w:val="right" w:leader="none" w:pos="9026"/>
      </w:tabs>
      <w:spacing w:line="240" w:lineRule="auto"/>
      <w:jc w:val="right"/>
      <w:rPr>
        <w:rFonts w:ascii="Arial" w:cs="Arial" w:eastAsia="Arial" w:hAnsi="Arial"/>
        <w:color w:val="350088"/>
        <w:sz w:val="20"/>
        <w:szCs w:val="20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1417327" cy="224604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17327" cy="224604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color w:val="350088"/>
        <w:sz w:val="18"/>
        <w:szCs w:val="18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pageBreakBefore w:val="0"/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</w:rPr>
    </w:pPr>
    <w:r w:rsidDel="00000000" w:rsidR="00000000" w:rsidRPr="00000000">
      <w:rPr>
        <w:rtl w:val="0"/>
      </w:rPr>
    </w:r>
  </w:p>
  <w:tbl>
    <w:tblPr>
      <w:tblStyle w:val="Table1"/>
      <w:tblW w:w="9314.0" w:type="dxa"/>
      <w:jc w:val="left"/>
      <w:tblLayout w:type="fixed"/>
      <w:tblLook w:val="0600"/>
    </w:tblPr>
    <w:tblGrid>
      <w:gridCol w:w="4657"/>
      <w:gridCol w:w="4657"/>
      <w:tblGridChange w:id="0">
        <w:tblGrid>
          <w:gridCol w:w="4657"/>
          <w:gridCol w:w="4657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20">
          <w:pPr>
            <w:tabs>
              <w:tab w:val="center" w:leader="none" w:pos="4513"/>
              <w:tab w:val="right" w:leader="none" w:pos="9026"/>
            </w:tabs>
            <w:spacing w:line="240" w:lineRule="auto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</w:rPr>
            <w:drawing>
              <wp:inline distB="114300" distT="114300" distL="114300" distR="114300">
                <wp:extent cx="1744028" cy="274921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4028" cy="274921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0.0" w:type="dxa"/>
            <w:bottom w:w="0.0" w:type="dxa"/>
            <w:right w:w="0.0" w:type="dxa"/>
          </w:tcMar>
          <w:vAlign w:val="center"/>
        </w:tcPr>
        <w:p w:rsidR="00000000" w:rsidDel="00000000" w:rsidP="00000000" w:rsidRDefault="00000000" w:rsidRPr="00000000" w14:paraId="00000021">
          <w:pPr>
            <w:tabs>
              <w:tab w:val="center" w:leader="none" w:pos="4513"/>
              <w:tab w:val="right" w:leader="none" w:pos="9026"/>
            </w:tabs>
            <w:spacing w:line="240" w:lineRule="auto"/>
            <w:jc w:val="right"/>
            <w:rPr>
              <w:rFonts w:ascii="Arial" w:cs="Arial" w:eastAsia="Arial" w:hAnsi="Arial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22">
    <w:pPr>
      <w:pageBreakBefore w:val="0"/>
      <w:tabs>
        <w:tab w:val="center" w:leader="none" w:pos="4513"/>
        <w:tab w:val="right" w:leader="none" w:pos="9026"/>
      </w:tabs>
      <w:spacing w:after="0" w:line="240" w:lineRule="auto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omic Sans MS" w:cs="Comic Sans MS" w:eastAsia="Comic Sans MS" w:hAnsi="Comic Sans MS"/>
        <w:sz w:val="28"/>
        <w:szCs w:val="28"/>
        <w:lang w:val="en-GB"/>
      </w:rPr>
    </w:rPrDefault>
    <w:pPrDefault>
      <w:pPr>
        <w:tabs>
          <w:tab w:val="center" w:leader="none" w:pos="4513"/>
          <w:tab w:val="right" w:leader="none" w:pos="9026"/>
        </w:tabs>
        <w:spacing w:after="1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tabs>
        <w:tab w:val="center" w:leader="none" w:pos="4513"/>
        <w:tab w:val="right" w:leader="none" w:pos="9026"/>
      </w:tabs>
      <w:spacing w:after="120" w:before="240" w:line="276" w:lineRule="auto"/>
    </w:pPr>
    <w:rPr>
      <w:rFonts w:ascii="Comic Sans MS" w:cs="Comic Sans MS" w:eastAsia="Comic Sans MS" w:hAnsi="Comic Sans MS"/>
      <w:b w:val="1"/>
      <w:color w:val="000000"/>
      <w:sz w:val="36"/>
      <w:szCs w:val="36"/>
    </w:rPr>
  </w:style>
  <w:style w:type="paragraph" w:styleId="Heading2">
    <w:name w:val="heading 2"/>
    <w:basedOn w:val="Normal"/>
    <w:next w:val="Normal"/>
    <w:pPr>
      <w:tabs>
        <w:tab w:val="center" w:leader="none" w:pos="4513"/>
        <w:tab w:val="right" w:leader="none" w:pos="9026"/>
      </w:tabs>
      <w:spacing w:after="120" w:before="240" w:line="276" w:lineRule="auto"/>
    </w:pPr>
    <w:rPr>
      <w:rFonts w:ascii="Comic Sans MS" w:cs="Comic Sans MS" w:eastAsia="Comic Sans MS" w:hAnsi="Comic Sans MS"/>
      <w:b w:val="1"/>
      <w:color w:val="000000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tabs>
        <w:tab w:val="center" w:leader="none" w:pos="4513"/>
        <w:tab w:val="right" w:leader="none" w:pos="9026"/>
      </w:tabs>
      <w:spacing w:after="120" w:before="240" w:line="276" w:lineRule="auto"/>
    </w:pPr>
    <w:rPr>
      <w:b w:val="1"/>
      <w:color w:val="37155c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ind w:left="720" w:hanging="360"/>
    </w:pPr>
    <w:rPr/>
  </w:style>
  <w:style w:type="paragraph" w:styleId="Heading5">
    <w:name w:val="heading 5"/>
    <w:basedOn w:val="Normal"/>
    <w:next w:val="Normal"/>
    <w:pPr>
      <w:keepNext w:val="1"/>
      <w:keepLines w:val="1"/>
      <w:pageBreakBefore w:val="0"/>
      <w:ind w:left="720" w:hanging="360"/>
    </w:pPr>
    <w:rPr/>
  </w:style>
  <w:style w:type="paragraph" w:styleId="Heading6">
    <w:name w:val="heading 6"/>
    <w:basedOn w:val="Normal"/>
    <w:next w:val="Normal"/>
    <w:pPr>
      <w:keepNext w:val="1"/>
      <w:keepLines w:val="1"/>
      <w:pageBreakBefore w:val="0"/>
      <w:ind w:left="720" w:hanging="360"/>
    </w:pPr>
    <w:rPr/>
  </w:style>
  <w:style w:type="paragraph" w:styleId="Title">
    <w:name w:val="Title"/>
    <w:basedOn w:val="Normal"/>
    <w:next w:val="Normal"/>
    <w:pPr>
      <w:tabs>
        <w:tab w:val="center" w:leader="none" w:pos="4513"/>
        <w:tab w:val="right" w:leader="none" w:pos="9026"/>
      </w:tabs>
      <w:spacing w:before="200" w:line="240" w:lineRule="auto"/>
    </w:pPr>
    <w:rPr>
      <w:b w:val="1"/>
      <w:color w:val="37155c"/>
      <w:sz w:val="60"/>
      <w:szCs w:val="60"/>
    </w:rPr>
  </w:style>
  <w:style w:type="paragraph" w:styleId="Subtitle">
    <w:name w:val="Subtitle"/>
    <w:basedOn w:val="Normal"/>
    <w:next w:val="Normal"/>
    <w:pPr>
      <w:keepNext w:val="1"/>
      <w:keepLines w:val="1"/>
      <w:tabs>
        <w:tab w:val="center" w:leader="none" w:pos="4513"/>
        <w:tab w:val="right" w:leader="none" w:pos="9026"/>
      </w:tabs>
      <w:spacing w:after="480" w:line="240" w:lineRule="auto"/>
    </w:pPr>
    <w:rPr>
      <w:rFonts w:ascii="Comic Sans MS" w:cs="Comic Sans MS" w:eastAsia="Comic Sans MS" w:hAnsi="Comic Sans MS"/>
      <w:color w:val="000000"/>
      <w:sz w:val="32"/>
      <w:szCs w:val="32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hyperlink" Target="https://plinkhq.com/i/1535431770/e/?to=page" TargetMode="External"/><Relationship Id="rId7" Type="http://schemas.openxmlformats.org/officeDocument/2006/relationships/hyperlink" Target="https://parentzone.org.uk/advice/parent-guides" TargetMode="External"/><Relationship Id="rId8" Type="http://schemas.openxmlformats.org/officeDocument/2006/relationships/header" Target="head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